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exact" w:line="420"/>
        <w:jc w:val="center"/>
        <w:rPr>
          <w:rFonts w:ascii="標楷體" w:hAnsi="標楷體" w:eastAsia="標楷體"/>
          <w:sz w:val="40"/>
          <w:szCs w:val="40"/>
        </w:rPr>
      </w:pPr>
      <w:r>
        <w:rPr>
          <w:rFonts w:ascii="標楷體" w:hAnsi="標楷體" w:eastAsia="標楷體"/>
          <w:sz w:val="40"/>
          <w:szCs w:val="40"/>
        </w:rPr>
        <w:t>臺南市政府教育局所屬學校處理疑似不當管教或</w:t>
      </w:r>
    </w:p>
    <w:p>
      <w:pPr>
        <w:pStyle w:val="Style21"/>
        <w:spacing w:lineRule="exact" w:line="420"/>
        <w:jc w:val="center"/>
        <w:rPr>
          <w:rFonts w:ascii="標楷體" w:hAnsi="標楷體" w:eastAsia="標楷體"/>
          <w:sz w:val="40"/>
          <w:szCs w:val="40"/>
        </w:rPr>
      </w:pPr>
      <w:r>
        <w:rPr>
          <w:rFonts w:ascii="標楷體" w:hAnsi="標楷體" w:eastAsia="標楷體"/>
          <w:sz w:val="40"/>
          <w:szCs w:val="40"/>
        </w:rPr>
        <w:t>違法處罰事件注意要點</w:t>
      </w:r>
    </w:p>
    <w:p>
      <w:pPr>
        <w:pStyle w:val="Style21"/>
        <w:snapToGrid w:val="false"/>
        <w:spacing w:lineRule="atLeast" w:line="240"/>
        <w:jc w:val="right"/>
        <w:rPr>
          <w:rFonts w:ascii="標楷體" w:hAnsi="標楷體" w:eastAsia="標楷體"/>
          <w:bCs/>
          <w:sz w:val="20"/>
          <w:szCs w:val="20"/>
        </w:rPr>
      </w:pPr>
      <w:r>
        <w:rPr>
          <w:rFonts w:ascii="標楷體" w:hAnsi="標楷體" w:eastAsia="標楷體"/>
          <w:bCs/>
          <w:sz w:val="20"/>
          <w:szCs w:val="20"/>
        </w:rPr>
        <w:t>民國</w:t>
      </w:r>
      <w:r>
        <w:rPr>
          <w:rFonts w:eastAsia="標楷體" w:ascii="標楷體" w:hAnsi="標楷體"/>
          <w:bCs/>
          <w:sz w:val="20"/>
          <w:szCs w:val="20"/>
        </w:rPr>
        <w:t>108</w:t>
      </w:r>
      <w:r>
        <w:rPr>
          <w:rFonts w:ascii="標楷體" w:hAnsi="標楷體" w:eastAsia="標楷體"/>
          <w:bCs/>
          <w:sz w:val="20"/>
          <w:szCs w:val="20"/>
        </w:rPr>
        <w:t>年</w:t>
      </w:r>
      <w:r>
        <w:rPr>
          <w:rFonts w:eastAsia="標楷體" w:ascii="標楷體" w:hAnsi="標楷體"/>
          <w:bCs/>
          <w:sz w:val="20"/>
          <w:szCs w:val="20"/>
        </w:rPr>
        <w:t>12</w:t>
      </w:r>
      <w:r>
        <w:rPr>
          <w:rFonts w:ascii="標楷體" w:hAnsi="標楷體" w:eastAsia="標楷體"/>
          <w:bCs/>
          <w:sz w:val="20"/>
          <w:szCs w:val="20"/>
        </w:rPr>
        <w:t>月</w:t>
      </w:r>
      <w:r>
        <w:rPr>
          <w:rFonts w:eastAsia="標楷體" w:ascii="標楷體" w:hAnsi="標楷體"/>
          <w:bCs/>
          <w:sz w:val="20"/>
          <w:szCs w:val="20"/>
        </w:rPr>
        <w:t>10</w:t>
      </w:r>
      <w:r>
        <w:rPr>
          <w:rFonts w:ascii="標楷體" w:hAnsi="標楷體" w:eastAsia="標楷體"/>
          <w:bCs/>
          <w:sz w:val="20"/>
          <w:szCs w:val="20"/>
        </w:rPr>
        <w:t>日訂定</w:t>
      </w:r>
    </w:p>
    <w:p>
      <w:pPr>
        <w:pStyle w:val="Style21"/>
        <w:snapToGrid w:val="false"/>
        <w:spacing w:lineRule="atLeast" w:line="240"/>
        <w:jc w:val="right"/>
        <w:rPr>
          <w:rFonts w:ascii="標楷體" w:hAnsi="標楷體" w:eastAsia="標楷體"/>
          <w:bCs/>
          <w:sz w:val="20"/>
          <w:szCs w:val="20"/>
        </w:rPr>
      </w:pPr>
      <w:r>
        <w:rPr>
          <w:rFonts w:ascii="標楷體" w:hAnsi="標楷體" w:eastAsia="標楷體"/>
          <w:bCs/>
          <w:sz w:val="20"/>
          <w:szCs w:val="20"/>
        </w:rPr>
        <w:t>民國</w:t>
      </w:r>
      <w:r>
        <w:rPr>
          <w:rFonts w:eastAsia="標楷體" w:ascii="標楷體" w:hAnsi="標楷體"/>
          <w:bCs/>
          <w:sz w:val="20"/>
          <w:szCs w:val="20"/>
        </w:rPr>
        <w:t>109</w:t>
      </w:r>
      <w:r>
        <w:rPr>
          <w:rFonts w:ascii="標楷體" w:hAnsi="標楷體" w:eastAsia="標楷體"/>
          <w:bCs/>
          <w:sz w:val="20"/>
          <w:szCs w:val="20"/>
        </w:rPr>
        <w:t>年</w:t>
      </w:r>
      <w:r>
        <w:rPr>
          <w:rFonts w:eastAsia="標楷體" w:ascii="標楷體" w:hAnsi="標楷體"/>
          <w:bCs/>
          <w:sz w:val="20"/>
          <w:szCs w:val="20"/>
        </w:rPr>
        <w:t>07</w:t>
      </w:r>
      <w:r>
        <w:rPr>
          <w:rFonts w:ascii="標楷體" w:hAnsi="標楷體" w:eastAsia="標楷體"/>
          <w:bCs/>
          <w:sz w:val="20"/>
          <w:szCs w:val="20"/>
        </w:rPr>
        <w:t>月</w:t>
      </w:r>
      <w:r>
        <w:rPr>
          <w:rFonts w:eastAsia="標楷體" w:ascii="標楷體" w:hAnsi="標楷體"/>
          <w:bCs/>
          <w:sz w:val="20"/>
          <w:szCs w:val="20"/>
        </w:rPr>
        <w:t>03</w:t>
      </w:r>
      <w:r>
        <w:rPr>
          <w:rFonts w:ascii="標楷體" w:hAnsi="標楷體" w:eastAsia="標楷體"/>
          <w:bCs/>
          <w:sz w:val="20"/>
          <w:szCs w:val="20"/>
        </w:rPr>
        <w:t>日修訂</w:t>
      </w:r>
    </w:p>
    <w:p>
      <w:pPr>
        <w:pStyle w:val="Style21"/>
        <w:snapToGrid w:val="false"/>
        <w:spacing w:lineRule="atLeast" w:line="240"/>
        <w:jc w:val="right"/>
        <w:rPr>
          <w:rFonts w:ascii="標楷體" w:hAnsi="標楷體" w:eastAsia="標楷體"/>
          <w:bCs/>
          <w:sz w:val="20"/>
          <w:szCs w:val="20"/>
        </w:rPr>
      </w:pPr>
      <w:r>
        <w:rPr>
          <w:rFonts w:ascii="標楷體" w:hAnsi="標楷體" w:eastAsia="標楷體"/>
          <w:bCs/>
          <w:sz w:val="20"/>
          <w:szCs w:val="20"/>
        </w:rPr>
        <w:t>民國</w:t>
      </w:r>
      <w:r>
        <w:rPr>
          <w:rFonts w:eastAsia="標楷體" w:ascii="標楷體" w:hAnsi="標楷體"/>
          <w:bCs/>
          <w:sz w:val="20"/>
          <w:szCs w:val="20"/>
        </w:rPr>
        <w:t>109</w:t>
      </w:r>
      <w:r>
        <w:rPr>
          <w:rFonts w:ascii="標楷體" w:hAnsi="標楷體" w:eastAsia="標楷體"/>
          <w:bCs/>
          <w:sz w:val="20"/>
          <w:szCs w:val="20"/>
        </w:rPr>
        <w:t>年</w:t>
      </w:r>
      <w:r>
        <w:rPr>
          <w:rFonts w:eastAsia="標楷體" w:ascii="標楷體" w:hAnsi="標楷體"/>
          <w:bCs/>
          <w:sz w:val="20"/>
          <w:szCs w:val="20"/>
        </w:rPr>
        <w:t>10</w:t>
      </w:r>
      <w:r>
        <w:rPr>
          <w:rFonts w:ascii="標楷體" w:hAnsi="標楷體" w:eastAsia="標楷體"/>
          <w:bCs/>
          <w:sz w:val="20"/>
          <w:szCs w:val="20"/>
        </w:rPr>
        <w:t>月</w:t>
      </w:r>
      <w:r>
        <w:rPr>
          <w:rFonts w:eastAsia="標楷體" w:ascii="標楷體" w:hAnsi="標楷體"/>
          <w:bCs/>
          <w:sz w:val="20"/>
          <w:szCs w:val="20"/>
        </w:rPr>
        <w:t>20</w:t>
      </w:r>
      <w:r>
        <w:rPr>
          <w:rFonts w:ascii="標楷體" w:hAnsi="標楷體" w:eastAsia="標楷體"/>
          <w:bCs/>
          <w:sz w:val="20"/>
          <w:szCs w:val="20"/>
        </w:rPr>
        <w:t>日修訂</w:t>
      </w:r>
    </w:p>
    <w:tbl>
      <w:tblPr>
        <w:tblW w:w="9923" w:type="dxa"/>
        <w:jc w:val="center"/>
        <w:tblInd w:w="0" w:type="dxa"/>
        <w:tblBorders/>
        <w:tblCellMar>
          <w:top w:w="0" w:type="dxa"/>
          <w:left w:w="108" w:type="dxa"/>
          <w:bottom w:w="0" w:type="dxa"/>
          <w:right w:w="108" w:type="dxa"/>
        </w:tblCellMar>
      </w:tblPr>
      <w:tblGrid>
        <w:gridCol w:w="9923"/>
      </w:tblGrid>
      <w:tr>
        <w:trPr>
          <w:trHeight w:val="720" w:hRule="atLeast"/>
        </w:trPr>
        <w:tc>
          <w:tcPr>
            <w:tcW w:w="9923" w:type="dxa"/>
            <w:tcBorders/>
            <w:shd w:fill="auto" w:val="clear"/>
          </w:tcPr>
          <w:p>
            <w:pPr>
              <w:pStyle w:val="Style21"/>
              <w:spacing w:lineRule="exact" w:line="420"/>
              <w:ind w:left="549" w:hanging="549"/>
              <w:rPr/>
            </w:pPr>
            <w:r>
              <w:rPr>
                <w:rStyle w:val="Style14"/>
                <w:rFonts w:ascii="標楷體" w:hAnsi="標楷體" w:eastAsia="標楷體"/>
                <w:sz w:val="28"/>
                <w:szCs w:val="28"/>
              </w:rPr>
              <w:t>一、臺南市政府教育局（以下簡稱本局）為使所屬各級學校妥善處理並預防不當管教或違法處罰事件，特訂定本要點。</w:t>
            </w:r>
          </w:p>
        </w:tc>
      </w:tr>
      <w:tr>
        <w:trPr>
          <w:trHeight w:val="690" w:hRule="atLeast"/>
        </w:trPr>
        <w:tc>
          <w:tcPr>
            <w:tcW w:w="9923" w:type="dxa"/>
            <w:tcBorders/>
            <w:shd w:fill="auto" w:val="clear"/>
          </w:tcPr>
          <w:p>
            <w:pPr>
              <w:pStyle w:val="Style21"/>
              <w:spacing w:lineRule="exact" w:line="420"/>
              <w:ind w:left="549" w:hanging="549"/>
              <w:rPr>
                <w:rFonts w:ascii="標楷體" w:hAnsi="標楷體" w:eastAsia="標楷體"/>
                <w:sz w:val="28"/>
                <w:szCs w:val="28"/>
              </w:rPr>
            </w:pPr>
            <w:r>
              <w:rPr>
                <w:rFonts w:ascii="標楷體" w:hAnsi="標楷體" w:eastAsia="標楷體"/>
                <w:sz w:val="28"/>
                <w:szCs w:val="28"/>
              </w:rPr>
              <w:t>二、學校處理疑似不當管教或違法處罰事件，除依據高級中等以下學校教師解聘不續聘停聘或資遣辦法及學校訂定教師輔導與管教學生辦法注意事項規定辦理外，依本要點辦理。</w:t>
            </w:r>
          </w:p>
        </w:tc>
      </w:tr>
      <w:tr>
        <w:trPr>
          <w:trHeight w:val="690" w:hRule="atLeast"/>
        </w:trPr>
        <w:tc>
          <w:tcPr>
            <w:tcW w:w="9923" w:type="dxa"/>
            <w:tcBorders/>
            <w:shd w:fill="auto" w:val="clear"/>
          </w:tcPr>
          <w:p>
            <w:pPr>
              <w:pStyle w:val="Style21"/>
              <w:spacing w:lineRule="exact" w:line="420"/>
              <w:ind w:left="549" w:hanging="549"/>
              <w:rPr>
                <w:rFonts w:ascii="標楷體" w:hAnsi="標楷體" w:eastAsia="標楷體"/>
                <w:sz w:val="28"/>
                <w:szCs w:val="28"/>
              </w:rPr>
            </w:pPr>
            <w:r>
              <w:rPr>
                <w:rFonts w:ascii="標楷體" w:hAnsi="標楷體" w:eastAsia="標楷體"/>
                <w:sz w:val="28"/>
                <w:szCs w:val="28"/>
              </w:rPr>
              <w:t>三、本要點適用對象為依學校訂定教師輔導與管教學生辦法注意事項第四點第一項第一款及第九點規定之人員。</w:t>
            </w:r>
          </w:p>
          <w:p>
            <w:pPr>
              <w:pStyle w:val="Style21"/>
              <w:spacing w:lineRule="exact" w:line="420"/>
              <w:ind w:left="598" w:firstLine="2"/>
              <w:rPr>
                <w:rFonts w:ascii="標楷體" w:hAnsi="標楷體" w:eastAsia="標楷體"/>
                <w:sz w:val="28"/>
                <w:szCs w:val="28"/>
              </w:rPr>
            </w:pPr>
            <w:r>
              <w:rPr>
                <w:rFonts w:ascii="標楷體" w:hAnsi="標楷體" w:eastAsia="標楷體"/>
                <w:sz w:val="28"/>
                <w:szCs w:val="28"/>
              </w:rPr>
              <w:t>除前開適用對象外，其餘人員如課後社團教師、課後照顧人員之調查程序得參照本流程辦理。</w:t>
            </w:r>
          </w:p>
        </w:tc>
      </w:tr>
      <w:tr>
        <w:trPr>
          <w:trHeight w:val="690" w:hRule="atLeast"/>
        </w:trPr>
        <w:tc>
          <w:tcPr>
            <w:tcW w:w="9923" w:type="dxa"/>
            <w:tcBorders/>
            <w:shd w:fill="auto" w:val="clear"/>
          </w:tcPr>
          <w:p>
            <w:pPr>
              <w:pStyle w:val="Style21"/>
              <w:spacing w:lineRule="exact" w:line="420"/>
              <w:ind w:left="549" w:hanging="549"/>
              <w:rPr>
                <w:rFonts w:ascii="標楷體" w:hAnsi="標楷體" w:eastAsia="標楷體"/>
                <w:sz w:val="28"/>
                <w:szCs w:val="28"/>
              </w:rPr>
            </w:pPr>
            <w:r>
              <w:rPr>
                <w:rFonts w:ascii="標楷體" w:hAnsi="標楷體" w:eastAsia="標楷體"/>
                <w:sz w:val="28"/>
                <w:szCs w:val="28"/>
              </w:rPr>
              <w:t>四、管教、處罰及體罰之定義：指依學校訂定教師輔導與管教學生辦法注意事項第四點第一項第二款、第三款及第四款之規定及其附表之情形。</w:t>
            </w:r>
          </w:p>
        </w:tc>
      </w:tr>
      <w:tr>
        <w:trPr>
          <w:trHeight w:val="690" w:hRule="atLeast"/>
        </w:trPr>
        <w:tc>
          <w:tcPr>
            <w:tcW w:w="9923" w:type="dxa"/>
            <w:tcBorders/>
            <w:shd w:fill="auto" w:val="clear"/>
          </w:tcPr>
          <w:p>
            <w:pPr>
              <w:pStyle w:val="Style21"/>
              <w:spacing w:lineRule="exact" w:line="420"/>
              <w:ind w:left="549" w:hanging="549"/>
              <w:rPr>
                <w:rFonts w:ascii="標楷體" w:hAnsi="標楷體" w:eastAsia="標楷體"/>
                <w:sz w:val="28"/>
                <w:szCs w:val="28"/>
              </w:rPr>
            </w:pPr>
            <w:r>
              <w:rPr>
                <w:rFonts w:ascii="標楷體" w:hAnsi="標楷體" w:eastAsia="標楷體"/>
                <w:sz w:val="28"/>
                <w:szCs w:val="28"/>
              </w:rPr>
              <w:t>五、為落實學校正向管教措施並預防不當管教或違法處罰事件，學校應依下列事項辦理：</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（一）訂定辦法：學校應依教師法第三十二條第一項第四款及學校訂定教師輔導與管教學生辦法注意事項之規定，訂定學校之教師輔導與管教學生辦法。</w:t>
            </w:r>
          </w:p>
          <w:p>
            <w:pPr>
              <w:pStyle w:val="Style21"/>
              <w:spacing w:lineRule="exact" w:line="420"/>
              <w:rPr>
                <w:rFonts w:ascii="標楷體" w:hAnsi="標楷體" w:eastAsia="標楷體"/>
                <w:sz w:val="28"/>
                <w:szCs w:val="28"/>
              </w:rPr>
            </w:pPr>
            <w:r>
              <w:rPr>
                <w:rFonts w:ascii="標楷體" w:hAnsi="標楷體" w:eastAsia="標楷體"/>
                <w:sz w:val="28"/>
                <w:szCs w:val="28"/>
              </w:rPr>
              <w:t>（二）舉報管道：學校應設立校園不當管教或違法處罰事件舉報專線或信箱。</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（三）專業成長：學校應加強宣導教師正向管教及專業倫理及界線與法治觀念，定期辦理研習。</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（四）積極溝通：教師或學校於接獲家長或監護人對於管教措施之意見時，應積極溝通協調及說明理由。</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（五）學校應配合本局實施學生心理感受問卷，並應於平時主動掌握校內調查屬實之行為人名單，規劃約制措施以維護學生安全。</w:t>
            </w:r>
          </w:p>
        </w:tc>
      </w:tr>
      <w:tr>
        <w:trPr>
          <w:trHeight w:val="690" w:hRule="atLeast"/>
        </w:trPr>
        <w:tc>
          <w:tcPr>
            <w:tcW w:w="9923" w:type="dxa"/>
            <w:tcBorders/>
            <w:shd w:fill="auto" w:val="clear"/>
          </w:tcPr>
          <w:p>
            <w:pPr>
              <w:pStyle w:val="Style21"/>
              <w:spacing w:lineRule="exact" w:line="420"/>
              <w:ind w:left="549" w:hanging="549"/>
              <w:rPr>
                <w:rFonts w:ascii="標楷體" w:hAnsi="標楷體" w:eastAsia="標楷體"/>
                <w:sz w:val="28"/>
                <w:szCs w:val="28"/>
              </w:rPr>
            </w:pPr>
            <w:r>
              <w:rPr>
                <w:rFonts w:ascii="標楷體" w:hAnsi="標楷體" w:eastAsia="標楷體"/>
                <w:sz w:val="28"/>
                <w:szCs w:val="28"/>
              </w:rPr>
              <w:t>六、學校處理疑似不當管教或違法處罰事件，除依學校訂定教師輔導與管教學生辦法注意事項規定處理外，應依下列作業流程辦理（詳如附表）：</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（一）學校應於發現或接獲通知投訴教育人員有不當管教或違法處罰情事後，於二十四小時內完成下列事項：</w:t>
            </w:r>
          </w:p>
          <w:p>
            <w:pPr>
              <w:pStyle w:val="Style21"/>
              <w:spacing w:lineRule="exact" w:line="420"/>
              <w:ind w:firstLine="840"/>
              <w:rPr>
                <w:rFonts w:ascii="標楷體" w:hAnsi="標楷體" w:eastAsia="標楷體"/>
                <w:bCs/>
                <w:sz w:val="28"/>
                <w:szCs w:val="28"/>
              </w:rPr>
            </w:pPr>
            <w:r>
              <w:rPr>
                <w:rFonts w:ascii="標楷體" w:hAnsi="標楷體" w:eastAsia="標楷體"/>
                <w:bCs/>
                <w:sz w:val="28"/>
                <w:szCs w:val="28"/>
              </w:rPr>
              <w:t>１</w:t>
            </w:r>
            <w:r>
              <w:rPr>
                <w:rFonts w:eastAsia="標楷體" w:ascii="標楷體" w:hAnsi="標楷體"/>
                <w:bCs/>
                <w:sz w:val="28"/>
                <w:szCs w:val="28"/>
              </w:rPr>
              <w:t>.</w:t>
            </w:r>
            <w:r>
              <w:rPr>
                <w:rFonts w:ascii="標楷體" w:hAnsi="標楷體" w:eastAsia="標楷體"/>
                <w:bCs/>
                <w:sz w:val="28"/>
                <w:szCs w:val="28"/>
              </w:rPr>
              <w:t>進行校安通報及相關通報（通知督學、業務科及關懷</w:t>
            </w:r>
            <w:r>
              <w:rPr>
                <w:rFonts w:eastAsia="標楷體" w:ascii="標楷體" w:hAnsi="標楷體"/>
                <w:bCs/>
                <w:sz w:val="28"/>
                <w:szCs w:val="28"/>
              </w:rPr>
              <w:t>e</w:t>
            </w:r>
            <w:r>
              <w:rPr>
                <w:rFonts w:ascii="標楷體" w:hAnsi="標楷體" w:eastAsia="標楷體"/>
                <w:bCs/>
                <w:sz w:val="28"/>
                <w:szCs w:val="28"/>
              </w:rPr>
              <w:t>起來）。</w:t>
            </w:r>
          </w:p>
          <w:p>
            <w:pPr>
              <w:pStyle w:val="Style21"/>
              <w:spacing w:lineRule="exact" w:line="420"/>
              <w:ind w:firstLine="840"/>
              <w:rPr>
                <w:rFonts w:ascii="標楷體" w:hAnsi="標楷體" w:eastAsia="標楷體"/>
                <w:bCs/>
                <w:sz w:val="28"/>
                <w:szCs w:val="28"/>
              </w:rPr>
            </w:pPr>
            <w:r>
              <w:rPr>
                <w:rFonts w:ascii="標楷體" w:hAnsi="標楷體" w:eastAsia="標楷體"/>
                <w:bCs/>
                <w:sz w:val="28"/>
                <w:szCs w:val="28"/>
              </w:rPr>
              <w:t>２</w:t>
            </w:r>
            <w:r>
              <w:rPr>
                <w:rFonts w:eastAsia="標楷體" w:ascii="標楷體" w:hAnsi="標楷體"/>
                <w:bCs/>
                <w:sz w:val="28"/>
                <w:szCs w:val="28"/>
              </w:rPr>
              <w:t>.</w:t>
            </w:r>
            <w:r>
              <w:rPr>
                <w:rFonts w:ascii="標楷體" w:hAnsi="標楷體" w:eastAsia="標楷體"/>
                <w:bCs/>
                <w:sz w:val="28"/>
                <w:szCs w:val="28"/>
              </w:rPr>
              <w:t>檢視學生受傷狀況，送學校健康中心或醫院治療，並記錄受傷情形。</w:t>
            </w:r>
          </w:p>
          <w:p>
            <w:pPr>
              <w:pStyle w:val="Style21"/>
              <w:spacing w:lineRule="exact" w:line="420"/>
              <w:ind w:firstLine="840"/>
              <w:rPr>
                <w:rFonts w:ascii="標楷體" w:hAnsi="標楷體" w:eastAsia="標楷體"/>
                <w:bCs/>
                <w:sz w:val="28"/>
                <w:szCs w:val="28"/>
              </w:rPr>
            </w:pPr>
            <w:r>
              <w:rPr>
                <w:rFonts w:ascii="標楷體" w:hAnsi="標楷體" w:eastAsia="標楷體"/>
                <w:bCs/>
                <w:sz w:val="28"/>
                <w:szCs w:val="28"/>
              </w:rPr>
              <w:t>３</w:t>
            </w:r>
            <w:r>
              <w:rPr>
                <w:rFonts w:eastAsia="標楷體" w:ascii="標楷體" w:hAnsi="標楷體"/>
                <w:bCs/>
                <w:sz w:val="28"/>
                <w:szCs w:val="28"/>
              </w:rPr>
              <w:t>.</w:t>
            </w:r>
            <w:r>
              <w:rPr>
                <w:rFonts w:ascii="標楷體" w:hAnsi="標楷體" w:eastAsia="標楷體"/>
                <w:bCs/>
                <w:sz w:val="28"/>
                <w:szCs w:val="28"/>
              </w:rPr>
              <w:t>輔導室評估學生心理狀態並啟動相關輔導機制。</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二）學校應於五日內召開校園事件處理會議（以下簡稱校事會議），有關校事會議召開時程、成員組成、出席代表性別比例、調查小組組成及調查報告審議須依高級中等以下學校教師解聘不續聘停聘或資遣辦法相關規定辦理。</w:t>
            </w:r>
          </w:p>
          <w:p>
            <w:pPr>
              <w:pStyle w:val="Style21"/>
              <w:spacing w:lineRule="exact" w:line="420"/>
              <w:ind w:left="840" w:hanging="840"/>
              <w:rPr>
                <w:rFonts w:ascii="標楷體" w:hAnsi="標楷體" w:eastAsia="標楷體"/>
                <w:sz w:val="28"/>
                <w:szCs w:val="28"/>
              </w:rPr>
            </w:pPr>
            <w:r>
              <w:rPr>
                <w:rFonts w:ascii="標楷體" w:hAnsi="標楷體" w:eastAsia="標楷體"/>
                <w:sz w:val="28"/>
                <w:szCs w:val="28"/>
              </w:rPr>
              <w:t>（三）若調查報告經校事會議審議屬實，教師涉有教師法第十四條及十五條之體罰事件，學校應移送教師評審委員會審議，後再送教師考核會審議。</w:t>
            </w:r>
          </w:p>
          <w:p>
            <w:pPr>
              <w:pStyle w:val="Style21"/>
              <w:spacing w:lineRule="exact" w:line="420"/>
              <w:ind w:left="883" w:hanging="0"/>
              <w:rPr>
                <w:rFonts w:ascii="標楷體" w:hAnsi="標楷體" w:eastAsia="標楷體"/>
                <w:bCs/>
                <w:sz w:val="28"/>
                <w:szCs w:val="28"/>
              </w:rPr>
            </w:pPr>
            <w:r>
              <w:rPr>
                <w:rFonts w:ascii="標楷體" w:hAnsi="標楷體" w:eastAsia="標楷體"/>
                <w:bCs/>
                <w:sz w:val="28"/>
                <w:szCs w:val="28"/>
              </w:rPr>
              <w:t>教師無涉體罰而有其他不當管教或違法處罰事件，學校應移送教師考核會審議。</w:t>
            </w:r>
          </w:p>
          <w:p>
            <w:pPr>
              <w:pStyle w:val="Style21"/>
              <w:spacing w:lineRule="exact" w:line="420"/>
              <w:ind w:left="893" w:hanging="840"/>
              <w:rPr>
                <w:rFonts w:ascii="標楷體" w:hAnsi="標楷體" w:eastAsia="標楷體"/>
                <w:sz w:val="28"/>
                <w:szCs w:val="28"/>
              </w:rPr>
            </w:pPr>
            <w:r>
              <w:rPr>
                <w:rFonts w:ascii="標楷體" w:hAnsi="標楷體" w:eastAsia="標楷體"/>
                <w:sz w:val="28"/>
                <w:szCs w:val="28"/>
              </w:rPr>
              <w:t>（四）調查屬實之教師，應實施高關懷措施，進行正向管教研習並以一個月為期，辦理追蹤輔導改進情形。</w:t>
            </w:r>
          </w:p>
          <w:p>
            <w:pPr>
              <w:pStyle w:val="Style21"/>
              <w:spacing w:lineRule="exact" w:line="420"/>
              <w:ind w:left="893" w:hanging="840"/>
              <w:rPr>
                <w:rFonts w:ascii="標楷體" w:hAnsi="標楷體" w:eastAsia="標楷體"/>
                <w:sz w:val="28"/>
                <w:szCs w:val="28"/>
              </w:rPr>
            </w:pPr>
            <w:r>
              <w:rPr>
                <w:rFonts w:ascii="標楷體" w:hAnsi="標楷體" w:eastAsia="標楷體"/>
                <w:sz w:val="28"/>
                <w:szCs w:val="28"/>
              </w:rPr>
              <w:t>（五）前開正向管教研習應於實施完畢後，檢附研習紀錄及研習心得，報本局備查。</w:t>
            </w:r>
          </w:p>
          <w:p>
            <w:pPr>
              <w:pStyle w:val="Style21"/>
              <w:spacing w:lineRule="exact" w:line="420"/>
              <w:ind w:left="893" w:hanging="840"/>
              <w:rPr>
                <w:rFonts w:ascii="標楷體" w:hAnsi="標楷體" w:eastAsia="標楷體"/>
                <w:sz w:val="28"/>
                <w:szCs w:val="28"/>
              </w:rPr>
            </w:pPr>
            <w:r>
              <w:rPr>
                <w:rFonts w:ascii="標楷體" w:hAnsi="標楷體" w:eastAsia="標楷體"/>
                <w:sz w:val="28"/>
                <w:szCs w:val="28"/>
              </w:rPr>
              <w:t>（六）有關教師考核會懲處作業應參考本局所屬學校不當管教或違法處罰事件屬實之懲處參考處理原則規定辦理。</w:t>
            </w:r>
          </w:p>
          <w:p>
            <w:pPr>
              <w:pStyle w:val="Style21"/>
              <w:spacing w:lineRule="exact" w:line="420"/>
              <w:ind w:firstLine="840"/>
              <w:rPr>
                <w:rFonts w:ascii="標楷體" w:hAnsi="標楷體" w:eastAsia="標楷體"/>
                <w:bCs/>
                <w:sz w:val="28"/>
                <w:szCs w:val="28"/>
              </w:rPr>
            </w:pPr>
            <w:r>
              <w:rPr>
                <w:rFonts w:ascii="標楷體" w:hAnsi="標楷體" w:eastAsia="標楷體"/>
                <w:bCs/>
                <w:sz w:val="28"/>
                <w:szCs w:val="28"/>
              </w:rPr>
              <w:t>經調查結果確認不當管教或違法處罰者，由本局列管並接受相關研習。</w:t>
            </w:r>
          </w:p>
          <w:p>
            <w:pPr>
              <w:pStyle w:val="Style21"/>
              <w:spacing w:lineRule="exact" w:line="420"/>
              <w:ind w:left="886" w:hanging="0"/>
              <w:rPr>
                <w:rFonts w:ascii="標楷體" w:hAnsi="標楷體" w:eastAsia="標楷體"/>
                <w:bCs/>
                <w:sz w:val="28"/>
                <w:szCs w:val="28"/>
              </w:rPr>
            </w:pPr>
            <w:r>
              <w:rPr>
                <w:rFonts w:ascii="標楷體" w:hAnsi="標楷體" w:eastAsia="標楷體"/>
                <w:bCs/>
                <w:sz w:val="28"/>
                <w:szCs w:val="28"/>
              </w:rPr>
              <w:t>若違法處罰有涉兒童及少年福利與權益保障法第四十九條身心虐待之情事，由社會局公佈其姓名。</w:t>
            </w:r>
          </w:p>
          <w:p>
            <w:pPr>
              <w:pStyle w:val="Style21"/>
              <w:spacing w:lineRule="exact" w:line="420"/>
              <w:ind w:left="893" w:hanging="840"/>
              <w:rPr>
                <w:rFonts w:ascii="標楷體" w:hAnsi="標楷體" w:eastAsia="標楷體"/>
                <w:sz w:val="28"/>
                <w:szCs w:val="28"/>
              </w:rPr>
            </w:pPr>
            <w:r>
              <w:rPr>
                <w:rFonts w:ascii="標楷體" w:hAnsi="標楷體" w:eastAsia="標楷體"/>
                <w:sz w:val="28"/>
                <w:szCs w:val="28"/>
              </w:rPr>
              <w:t>（七）學校附幼依教師法辦理解聘不續聘停聘及資遣事件後，應依教保人員服務條例及幼兒園不適任教保服務人員之通報與資訊蒐集及查詢辦法等相關規定辦理。</w:t>
            </w:r>
          </w:p>
          <w:p>
            <w:pPr>
              <w:pStyle w:val="Style21"/>
              <w:spacing w:lineRule="exact" w:line="420"/>
              <w:ind w:firstLine="560"/>
              <w:rPr>
                <w:rFonts w:ascii="標楷體" w:hAnsi="標楷體" w:eastAsia="標楷體"/>
                <w:sz w:val="28"/>
                <w:szCs w:val="28"/>
              </w:rPr>
            </w:pPr>
            <w:r>
              <w:rPr>
                <w:rFonts w:ascii="標楷體" w:hAnsi="標楷體" w:eastAsia="標楷體"/>
                <w:sz w:val="28"/>
                <w:szCs w:val="28"/>
              </w:rPr>
              <w:t>前項第二款事件若屬情節重大仍應於二日內召開校事會議，以爭取時效。</w:t>
            </w:r>
          </w:p>
          <w:p>
            <w:pPr>
              <w:pStyle w:val="Style21"/>
              <w:spacing w:lineRule="exact" w:line="420"/>
              <w:ind w:left="601" w:hanging="42"/>
              <w:rPr/>
            </w:pPr>
            <w:r>
              <w:rPr>
                <w:rStyle w:val="Style14"/>
                <w:rFonts w:ascii="標楷體" w:hAnsi="標楷體" w:eastAsia="標楷體"/>
                <w:sz w:val="28"/>
                <w:szCs w:val="28"/>
              </w:rPr>
              <w:t>第一項第三款教師評審委員會及教師考核會應於調查報告通過審議後次日起十日內完成。</w:t>
            </w:r>
          </w:p>
        </w:tc>
      </w:tr>
      <w:tr>
        <w:trPr>
          <w:trHeight w:val="690" w:hRule="atLeast"/>
        </w:trPr>
        <w:tc>
          <w:tcPr>
            <w:tcW w:w="9923" w:type="dxa"/>
            <w:tcBorders/>
            <w:shd w:fill="auto" w:val="clear"/>
          </w:tcPr>
          <w:p>
            <w:pPr>
              <w:pStyle w:val="Style21"/>
              <w:spacing w:lineRule="exact" w:line="420"/>
              <w:ind w:left="549" w:hanging="549"/>
              <w:rPr/>
            </w:pPr>
            <w:r>
              <w:rPr>
                <w:rStyle w:val="Style14"/>
                <w:rFonts w:ascii="標楷體" w:hAnsi="標楷體" w:eastAsia="標楷體"/>
                <w:sz w:val="28"/>
                <w:szCs w:val="28"/>
              </w:rPr>
              <w:t>七、責任懲處：學校人員</w:t>
            </w:r>
            <w:r>
              <w:rPr>
                <w:rStyle w:val="Style14"/>
                <w:rFonts w:ascii="標楷體" w:hAnsi="標楷體" w:eastAsia="標楷體"/>
                <w:bCs/>
                <w:sz w:val="28"/>
                <w:szCs w:val="28"/>
              </w:rPr>
              <w:t>未依本要點第五點及第六點辦理</w:t>
            </w:r>
            <w:r>
              <w:rPr>
                <w:rStyle w:val="Style14"/>
                <w:rFonts w:ascii="標楷體" w:hAnsi="標楷體" w:eastAsia="標楷體"/>
                <w:sz w:val="28"/>
                <w:szCs w:val="28"/>
              </w:rPr>
              <w:t>，應依情節輕重予以檢討議處。</w:t>
            </w:r>
          </w:p>
        </w:tc>
      </w:tr>
    </w:tbl>
    <w:p>
      <w:pPr>
        <w:pStyle w:val="Style21"/>
        <w:spacing w:lineRule="exact" w:line="700"/>
        <w:rPr>
          <w:rFonts w:ascii="標楷體" w:hAnsi="標楷體" w:eastAsia="標楷體"/>
          <w:b/>
          <w:b/>
          <w:bCs/>
          <w:sz w:val="40"/>
          <w:szCs w:val="40"/>
        </w:rPr>
      </w:pPr>
      <w:r>
        <w:rPr>
          <w:rFonts w:eastAsia="標楷體" w:ascii="標楷體" w:hAnsi="標楷體"/>
          <w:b/>
          <w:bCs/>
          <w:sz w:val="40"/>
          <w:szCs w:val="40"/>
        </w:rPr>
      </w:r>
    </w:p>
    <w:sectPr>
      <w:footerReference w:type="default" r:id="rId2"/>
      <w:type w:val="nextPage"/>
      <w:pgSz w:w="11906" w:h="16838"/>
      <w:pgMar w:left="1134" w:right="1134" w:header="0" w:top="851" w:footer="992" w:bottom="1134"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libri Light">
    <w:charset w:val="88"/>
    <w:family w:val="swiss"/>
    <w:pitch w:val="variable"/>
  </w:font>
  <w:font w:name="新細明體">
    <w:charset w:val="88"/>
    <w:family w:val="roman"/>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Style w:val="Style14"/>
        <w:lang w:val="zh-TW"/>
      </w:rPr>
      <w:fldChar w:fldCharType="begin"/>
    </w:r>
    <w:r>
      <w:instrText> PAGE </w:instrText>
    </w:r>
    <w:r>
      <w:fldChar w:fldCharType="separate"/>
    </w:r>
    <w:r>
      <w:t>3</w:t>
    </w:r>
    <w:r>
      <w:fldChar w:fldCharType="end"/>
    </w:r>
  </w:p>
  <w:p>
    <w:pPr>
      <w:pStyle w:val="Style23"/>
      <w:rPr/>
    </w:pPr>
    <w:r>
      <w:rPr/>
    </w:r>
  </w:p>
</w:ftr>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rFonts w:ascii="Times New Roman" w:hAnsi="Times New Roman" w:eastAsia="新細明體" w:cs="Times New Roman"/>
      <w:sz w:val="20"/>
      <w:szCs w:val="20"/>
    </w:rPr>
  </w:style>
  <w:style w:type="character" w:styleId="Style16">
    <w:name w:val="頁尾 字元"/>
    <w:basedOn w:val="Style14"/>
    <w:qFormat/>
    <w:rPr>
      <w:rFonts w:ascii="Times New Roman" w:hAnsi="Times New Roman" w:eastAsia="新細明體" w:cs="Times New Roman"/>
      <w:sz w:val="20"/>
      <w:szCs w:val="20"/>
    </w:rPr>
  </w:style>
  <w:style w:type="character" w:styleId="Style17">
    <w:name w:val="註解方塊文字 字元"/>
    <w:basedOn w:val="Style14"/>
    <w:qFormat/>
    <w:rPr>
      <w:rFonts w:ascii="Calibri Light" w:hAnsi="Calibri Light" w:eastAsia="新細明體" w:cs="Times New Roman"/>
      <w:sz w:val="18"/>
      <w:szCs w:val="18"/>
    </w:rPr>
  </w:style>
  <w:style w:type="character" w:styleId="Style18">
    <w:name w:val="註腳文字 字元"/>
    <w:basedOn w:val="Style14"/>
    <w:qFormat/>
    <w:rPr>
      <w:rFonts w:ascii="Times New Roman" w:hAnsi="Times New Roman" w:eastAsia="新細明體" w:cs="Times New Roman"/>
      <w:sz w:val="20"/>
      <w:szCs w:val="20"/>
    </w:rPr>
  </w:style>
  <w:style w:type="character" w:styleId="Style19">
    <w:name w:val="註腳參照"/>
    <w:basedOn w:val="Style14"/>
    <w:qFormat/>
    <w:rPr>
      <w:position w:val="24"/>
      <w:sz w:val="16"/>
    </w:rPr>
  </w:style>
  <w:style w:type="character" w:styleId="WWCharLFO1LVL1">
    <w:name w:val="WW_CharLFO1LVL1"/>
    <w:qFormat/>
    <w:rPr>
      <w:lang w:val="en-US"/>
    </w:rPr>
  </w:style>
  <w:style w:type="character" w:styleId="Style20">
    <w:name w:val="註腳字元"/>
    <w:qFormat/>
    <w:rPr/>
  </w:style>
  <w:style w:type="paragraph" w:styleId="Style21">
    <w:name w:val="內文"/>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2">
    <w:name w:val="頁首"/>
    <w:basedOn w:val="Style21"/>
    <w:pPr>
      <w:tabs>
        <w:tab w:val="center" w:pos="4153" w:leader="none"/>
        <w:tab w:val="right" w:pos="8306" w:leader="none"/>
      </w:tabs>
      <w:suppressAutoHyphens w:val="true"/>
      <w:snapToGrid w:val="false"/>
    </w:pPr>
    <w:rPr>
      <w:sz w:val="20"/>
      <w:szCs w:val="20"/>
    </w:rPr>
  </w:style>
  <w:style w:type="paragraph" w:styleId="Style23">
    <w:name w:val="頁尾"/>
    <w:basedOn w:val="Style21"/>
    <w:pPr>
      <w:tabs>
        <w:tab w:val="center" w:pos="4153" w:leader="none"/>
        <w:tab w:val="right" w:pos="8306" w:leader="none"/>
      </w:tabs>
      <w:suppressAutoHyphens w:val="true"/>
      <w:snapToGrid w:val="false"/>
    </w:pPr>
    <w:rPr>
      <w:sz w:val="20"/>
      <w:szCs w:val="20"/>
    </w:rPr>
  </w:style>
  <w:style w:type="paragraph" w:styleId="Style24">
    <w:name w:val="清單段落"/>
    <w:basedOn w:val="Style21"/>
    <w:qFormat/>
    <w:pPr>
      <w:suppressAutoHyphens w:val="true"/>
      <w:ind w:left="480" w:hanging="0"/>
    </w:pPr>
    <w:rPr/>
  </w:style>
  <w:style w:type="paragraph" w:styleId="Style25">
    <w:name w:val="註解方塊文字"/>
    <w:basedOn w:val="Style21"/>
    <w:qFormat/>
    <w:pPr>
      <w:suppressAutoHyphens w:val="true"/>
    </w:pPr>
    <w:rPr>
      <w:rFonts w:ascii="Calibri Light" w:hAnsi="Calibri Light" w:eastAsia="新細明體" w:cs="Times New Roman"/>
      <w:sz w:val="18"/>
      <w:szCs w:val="18"/>
    </w:rPr>
  </w:style>
  <w:style w:type="paragraph" w:styleId="Style26">
    <w:name w:val="註腳文字"/>
    <w:basedOn w:val="Style21"/>
    <w:qFormat/>
    <w:pPr>
      <w:suppressAutoHyphens w:val="true"/>
      <w:snapToGrid w:val="false"/>
    </w:pPr>
    <w:rPr>
      <w:sz w:val="20"/>
      <w:szCs w:val="20"/>
    </w:rPr>
  </w:style>
  <w:style w:type="paragraph" w:styleId="Xmsonormal">
    <w:name w:val="x_msonormal"/>
    <w:basedOn w:val="Style21"/>
    <w:qFormat/>
    <w:pPr>
      <w:suppressAutoHyphens w:val="true"/>
      <w:spacing w:before="100" w:after="100"/>
    </w:pPr>
    <w:rPr>
      <w:rFonts w:ascii="新細明體" w:hAnsi="新細明體" w:cs="新細明體"/>
    </w:rPr>
  </w:style>
  <w:style w:type="paragraph" w:styleId="Style27">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LibreOffice/5.0.5.2$Windows_x86 LibreOffice_project/55b006a02d247b5f7215fc6ea0fde844b30035b3</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2020-10-20T01:03:00Z</dcterms:created>
  <dc:creator>林書漢</dc:creator>
  <dc:language>zh-TW</dc:language>
  <cp:lastModifiedBy>user</cp:lastModifiedBy>
  <cp:lastPrinted>2020-08-07T03:56:00Z</cp:lastPrinted>
  <dcterms:modified xsi:type="dcterms:W3CDTF">2020-10-20T01:03:00Z</dcterms:modified>
  <cp:revision>2</cp:revision>
</cp:coreProperties>
</file>